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Pr="00FA3D88" w:rsidRDefault="00A35C41" w:rsidP="00201475">
      <w:pPr>
        <w:pStyle w:val="Default"/>
        <w:framePr w:w="11092" w:h="1169" w:hRule="exact" w:wrap="auto" w:vAnchor="page" w:hAnchor="page" w:x="833" w:y="332"/>
        <w:spacing w:after="280"/>
        <w:rPr>
          <w:sz w:val="28"/>
          <w:szCs w:val="28"/>
        </w:rPr>
      </w:pPr>
      <w:r w:rsidRPr="00FA3D88">
        <w:rPr>
          <w:sz w:val="28"/>
          <w:szCs w:val="28"/>
        </w:rPr>
        <w:t xml:space="preserve">   </w:t>
      </w:r>
      <w:r w:rsidR="0096114D">
        <w:rPr>
          <w:noProof/>
          <w:sz w:val="28"/>
          <w:szCs w:val="28"/>
        </w:rPr>
        <w:drawing>
          <wp:inline distT="0" distB="0" distL="0" distR="0">
            <wp:extent cx="6530340" cy="7162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FA3D88" w:rsidRDefault="00A714FC" w:rsidP="00A714FC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FA3D8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6F0461" w:rsidRPr="00FA3D88" w:rsidRDefault="00A35C41" w:rsidP="00A35C41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A3D8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371CC3" w:rsidRPr="00FA3D88" w:rsidRDefault="00BF54A2" w:rsidP="006F0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13.12.2017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      </w:t>
      </w:r>
      <w:r w:rsidR="00F75732" w:rsidRPr="00FA3D8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</w:t>
      </w:r>
      <w:r w:rsidR="00A714FC" w:rsidRPr="00FA3D88">
        <w:rPr>
          <w:rFonts w:ascii="Times New Roman" w:hAnsi="Times New Roman"/>
          <w:sz w:val="28"/>
          <w:szCs w:val="28"/>
        </w:rPr>
        <w:t xml:space="preserve">г. Москва   </w:t>
      </w:r>
      <w:r w:rsidR="00A714FC" w:rsidRPr="00FA3D88">
        <w:rPr>
          <w:rFonts w:ascii="Times New Roman" w:hAnsi="Times New Roman"/>
          <w:b/>
          <w:sz w:val="28"/>
          <w:szCs w:val="28"/>
        </w:rPr>
        <w:t xml:space="preserve">   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714FC" w:rsidRPr="00FA3D88">
        <w:rPr>
          <w:rFonts w:ascii="Times New Roman" w:hAnsi="Times New Roman"/>
          <w:b/>
          <w:sz w:val="28"/>
          <w:szCs w:val="28"/>
        </w:rPr>
        <w:t xml:space="preserve">  </w:t>
      </w:r>
      <w:r w:rsidR="00A714FC" w:rsidRPr="00FA3D88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>11.01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371CC3" w:rsidRPr="00FA3D88" w:rsidTr="00CE0C21">
        <w:trPr>
          <w:trHeight w:val="1383"/>
        </w:trPr>
        <w:tc>
          <w:tcPr>
            <w:tcW w:w="6487" w:type="dxa"/>
            <w:hideMark/>
          </w:tcPr>
          <w:p w:rsidR="00FA3D88" w:rsidRPr="00FA3D88" w:rsidRDefault="0070724A" w:rsidP="00FA3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FA3D88"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комплексной программе </w:t>
            </w:r>
            <w:proofErr w:type="gramStart"/>
            <w:r w:rsidR="00FA3D88" w:rsidRPr="00FA3D88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="00FA3D88"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3D88" w:rsidRPr="00FA3D88" w:rsidRDefault="00FA3D88" w:rsidP="00FA3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работающей молодёжи «Школа </w:t>
            </w:r>
          </w:p>
          <w:p w:rsidR="00FA3D88" w:rsidRPr="00FA3D88" w:rsidRDefault="00FA3D88" w:rsidP="00FA3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>молодого профсоюзного лидера</w:t>
            </w:r>
            <w:r w:rsidR="00734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(ШМПЛ)» </w:t>
            </w:r>
          </w:p>
          <w:p w:rsidR="00DF4A98" w:rsidRPr="00FA3D88" w:rsidRDefault="00FA3D88" w:rsidP="00CE0C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CE0C21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bookmarkStart w:id="0" w:name="_GoBack"/>
        <w:bookmarkEnd w:id="0"/>
      </w:tr>
    </w:tbl>
    <w:p w:rsidR="00FA3D88" w:rsidRPr="00FA3D88" w:rsidRDefault="00FA3D88" w:rsidP="00B91EE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3D88">
        <w:rPr>
          <w:rFonts w:ascii="Times New Roman" w:hAnsi="Times New Roman"/>
          <w:color w:val="000000"/>
          <w:spacing w:val="-2"/>
          <w:sz w:val="28"/>
          <w:szCs w:val="28"/>
        </w:rPr>
        <w:t>В рамках реализации Концепции молодежной политики РОСПРОФЖЕЛ, целевой программы «Молодежь ОАО «РЖД» и проведения мероприятий,</w:t>
      </w:r>
      <w:r w:rsidR="00EF7AA5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способствующих повышению авторитета</w:t>
      </w:r>
      <w:r w:rsidRPr="00FA3D8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Президиум Российского профессионального союза железнодорожников и транспортных строителей </w:t>
      </w:r>
      <w:r w:rsidRPr="00FA3D88">
        <w:rPr>
          <w:rFonts w:ascii="Times New Roman" w:hAnsi="Times New Roman"/>
          <w:b/>
          <w:color w:val="000000"/>
          <w:spacing w:val="-2"/>
          <w:sz w:val="28"/>
          <w:szCs w:val="28"/>
        </w:rPr>
        <w:t>ПОСТАНОВЛЯЕТ</w:t>
      </w:r>
      <w:r w:rsidRPr="00FA3D88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A3D88" w:rsidRDefault="00FA3D88" w:rsidP="0020147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ризнать реализацию комплексной 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 для работающей молодёжи «Школа молодого профсоюзного лидера» в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2017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 xml:space="preserve">у 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успешной и п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родолжить 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 xml:space="preserve">дальнейшее </w:t>
      </w:r>
      <w:r w:rsidR="00296F7F">
        <w:rPr>
          <w:rFonts w:ascii="Times New Roman" w:hAnsi="Times New Roman"/>
          <w:color w:val="000000"/>
          <w:spacing w:val="-1"/>
          <w:sz w:val="28"/>
          <w:szCs w:val="28"/>
        </w:rPr>
        <w:t>развитие программы в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2018 году.</w:t>
      </w:r>
    </w:p>
    <w:p w:rsidR="00FA3D88" w:rsidRPr="00FA3D88" w:rsidRDefault="00FA3D88" w:rsidP="0020147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>Утвердить:</w:t>
      </w:r>
    </w:p>
    <w:p w:rsidR="00FA3D88" w:rsidRPr="00FA3D88" w:rsidRDefault="005607AD" w:rsidP="00201475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.1.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комплексную программу для 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работающей молодежи «Школа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молодого профсоюзного лидера»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2018 год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(Приложение № 1)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3D88" w:rsidRDefault="005607AD" w:rsidP="00201475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.2. </w:t>
      </w:r>
      <w:r w:rsidR="006855E9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лан реализации программы на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2018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(Приложение № </w:t>
      </w:r>
      <w:r w:rsidR="006855E9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6855E9" w:rsidRDefault="005607AD" w:rsidP="00201475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 организационного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комитет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программы на 201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(Приложение №3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>).</w:t>
      </w:r>
    </w:p>
    <w:p w:rsidR="006A4401" w:rsidRPr="00FA3D88" w:rsidRDefault="006A4401" w:rsidP="0020147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Департаменту организационной </w:t>
      </w:r>
      <w:r w:rsidRPr="006A4401">
        <w:rPr>
          <w:rFonts w:ascii="Times New Roman" w:hAnsi="Times New Roman"/>
          <w:color w:val="000000"/>
          <w:spacing w:val="-1"/>
          <w:sz w:val="28"/>
          <w:szCs w:val="28"/>
        </w:rPr>
        <w:t>и кадровой работы Ап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парата ЦК РОСПРОФЖЕЛ подготовить</w:t>
      </w:r>
      <w:r w:rsidRPr="006A440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 2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0.01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Pr="006A440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типовую документацию для </w:t>
      </w:r>
      <w:r w:rsidRPr="006A4401">
        <w:rPr>
          <w:rFonts w:ascii="Times New Roman" w:hAnsi="Times New Roman"/>
          <w:color w:val="000000"/>
          <w:spacing w:val="-1"/>
          <w:sz w:val="28"/>
          <w:szCs w:val="28"/>
        </w:rPr>
        <w:t>реализации программы.</w:t>
      </w:r>
    </w:p>
    <w:p w:rsidR="006855E9" w:rsidRDefault="00BD384F" w:rsidP="00201475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Коми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тетам дорожных территориальных,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территориальных организаций Профсоюза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, объединенных первичных профсоюзных </w:t>
      </w:r>
      <w:r w:rsidR="008F4A9D">
        <w:rPr>
          <w:rFonts w:ascii="Times New Roman" w:hAnsi="Times New Roman"/>
          <w:color w:val="000000"/>
          <w:spacing w:val="-1"/>
          <w:sz w:val="28"/>
          <w:szCs w:val="28"/>
        </w:rPr>
        <w:t>организаций ОАО «</w:t>
      </w:r>
      <w:proofErr w:type="spellStart"/>
      <w:r w:rsidR="008F4A9D">
        <w:rPr>
          <w:rFonts w:ascii="Times New Roman" w:hAnsi="Times New Roman"/>
          <w:color w:val="000000"/>
          <w:spacing w:val="-1"/>
          <w:sz w:val="28"/>
          <w:szCs w:val="28"/>
        </w:rPr>
        <w:t>Сибмост</w:t>
      </w:r>
      <w:proofErr w:type="spellEnd"/>
      <w:r w:rsidR="008F4A9D">
        <w:rPr>
          <w:rFonts w:ascii="Times New Roman" w:hAnsi="Times New Roman"/>
          <w:color w:val="000000"/>
          <w:spacing w:val="-1"/>
          <w:sz w:val="28"/>
          <w:szCs w:val="28"/>
        </w:rPr>
        <w:t xml:space="preserve">», </w:t>
      </w:r>
      <w:r w:rsidR="00734036">
        <w:rPr>
          <w:rFonts w:ascii="Times New Roman" w:hAnsi="Times New Roman"/>
          <w:color w:val="000000"/>
          <w:spacing w:val="-1"/>
          <w:sz w:val="28"/>
          <w:szCs w:val="28"/>
        </w:rPr>
        <w:t xml:space="preserve">ОАО </w:t>
      </w:r>
      <w:r w:rsidR="00AA7B79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АК «Железные дороги Якутии», первич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ных профсоюзных  организаций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ОАО «</w:t>
      </w:r>
      <w:proofErr w:type="spellStart"/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Мостотрест</w:t>
      </w:r>
      <w:proofErr w:type="spellEnd"/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», 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>ОАО «</w:t>
      </w:r>
      <w:proofErr w:type="spellStart"/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>Ямальская</w:t>
      </w:r>
      <w:proofErr w:type="spellEnd"/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 xml:space="preserve"> железнодорожная компания»,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работников </w:t>
      </w:r>
      <w:r w:rsidR="00734036">
        <w:rPr>
          <w:rFonts w:ascii="Times New Roman" w:hAnsi="Times New Roman"/>
          <w:color w:val="000000"/>
          <w:spacing w:val="-1"/>
          <w:sz w:val="28"/>
          <w:szCs w:val="28"/>
        </w:rPr>
        <w:t>аппарата управления ОАО «РЖД»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организовать проведение мероприятий 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первого и второго этапов, принять участие в третьем этапе,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предусмотреть средства для реализации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Программы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607AD" w:rsidRPr="005607AD" w:rsidRDefault="005607AD" w:rsidP="0020147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607AD">
        <w:rPr>
          <w:rFonts w:ascii="Times New Roman" w:hAnsi="Times New Roman"/>
          <w:spacing w:val="-1"/>
          <w:sz w:val="28"/>
          <w:szCs w:val="28"/>
        </w:rPr>
        <w:t>Постановление Президиума Центрального комитета РОСПРОФЖЕЛ от 15.12.2015г. №  32.112 считать утратившим силу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2623FC" w:rsidRDefault="00B57A8D" w:rsidP="00201475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исполнени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остановления возложить на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Первого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заместителя Председателя Профсоюза </w:t>
      </w:r>
      <w:proofErr w:type="spellStart"/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С.И.Чернова</w:t>
      </w:r>
      <w:proofErr w:type="spellEnd"/>
      <w:r w:rsidR="00201475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CE0C21" w:rsidRDefault="00CE0C21" w:rsidP="002623FC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3D88" w:rsidRPr="002623FC" w:rsidRDefault="00FA3D88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>Председатель РОСПРОФЖЕЛ</w:t>
      </w:r>
      <w:r w:rsidRPr="00FA3D88">
        <w:rPr>
          <w:rFonts w:ascii="Times New Roman" w:hAnsi="Times New Roman"/>
          <w:b/>
          <w:sz w:val="28"/>
          <w:szCs w:val="28"/>
        </w:rPr>
        <w:tab/>
      </w:r>
      <w:r w:rsidR="002623FC">
        <w:rPr>
          <w:rFonts w:ascii="Times New Roman" w:hAnsi="Times New Roman"/>
          <w:b/>
          <w:sz w:val="28"/>
          <w:szCs w:val="28"/>
        </w:rPr>
        <w:t xml:space="preserve">        </w:t>
      </w:r>
      <w:r w:rsidR="0020147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623F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A3D88">
        <w:rPr>
          <w:rFonts w:ascii="Times New Roman" w:hAnsi="Times New Roman"/>
          <w:b/>
          <w:sz w:val="28"/>
          <w:szCs w:val="28"/>
        </w:rPr>
        <w:t>Н.А. Никифоров</w:t>
      </w:r>
    </w:p>
    <w:p w:rsidR="00B57A8D" w:rsidRDefault="00B57A8D" w:rsidP="002623FC">
      <w:pPr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  <w:sectPr w:rsidR="00B57A8D" w:rsidSect="00B57A8D">
          <w:pgSz w:w="11905" w:h="16837"/>
          <w:pgMar w:top="567" w:right="1134" w:bottom="567" w:left="1418" w:header="720" w:footer="720" w:gutter="0"/>
          <w:cols w:space="720"/>
          <w:noEndnote/>
          <w:docGrid w:linePitch="299"/>
        </w:sectPr>
      </w:pPr>
    </w:p>
    <w:p w:rsidR="00CE0C21" w:rsidRDefault="00CE0C21" w:rsidP="002623FC">
      <w:pPr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</w:p>
    <w:p w:rsidR="002623FC" w:rsidRPr="00BF54A2" w:rsidRDefault="002623FC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Приложение № 1 к </w:t>
      </w:r>
      <w:r w:rsidR="005607AD" w:rsidRPr="00BF54A2">
        <w:rPr>
          <w:rFonts w:ascii="Times New Roman" w:hAnsi="Times New Roman"/>
          <w:b/>
          <w:iCs/>
          <w:sz w:val="24"/>
          <w:szCs w:val="24"/>
        </w:rPr>
        <w:t>П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остановлению                                                           </w:t>
      </w:r>
    </w:p>
    <w:p w:rsidR="002623FC" w:rsidRPr="00BF54A2" w:rsidRDefault="002623FC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5607AD" w:rsidRPr="00BF54A2">
        <w:rPr>
          <w:rFonts w:ascii="Times New Roman" w:hAnsi="Times New Roman"/>
          <w:b/>
          <w:iCs/>
          <w:sz w:val="24"/>
          <w:szCs w:val="24"/>
        </w:rPr>
        <w:t xml:space="preserve">Президиума 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Профсоюза № </w:t>
      </w:r>
      <w:r w:rsidR="00057035" w:rsidRPr="00BF54A2">
        <w:rPr>
          <w:rFonts w:ascii="Times New Roman" w:hAnsi="Times New Roman"/>
          <w:b/>
          <w:iCs/>
          <w:sz w:val="24"/>
          <w:szCs w:val="24"/>
        </w:rPr>
        <w:t>11.01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         </w:t>
      </w:r>
    </w:p>
    <w:p w:rsidR="002623FC" w:rsidRPr="00BF54A2" w:rsidRDefault="00057035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>от«</w:t>
      </w:r>
      <w:r w:rsidRPr="00BF54A2">
        <w:rPr>
          <w:rFonts w:ascii="Times New Roman" w:hAnsi="Times New Roman"/>
          <w:b/>
          <w:iCs/>
          <w:sz w:val="24"/>
          <w:szCs w:val="24"/>
        </w:rPr>
        <w:t>13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>»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декабря</w:t>
      </w:r>
      <w:r w:rsidR="00BF54A2" w:rsidRPr="00BF54A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E0C21" w:rsidRPr="00BF54A2">
        <w:rPr>
          <w:rFonts w:ascii="Times New Roman" w:hAnsi="Times New Roman"/>
          <w:b/>
          <w:iCs/>
          <w:sz w:val="24"/>
          <w:szCs w:val="24"/>
        </w:rPr>
        <w:t>2017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 xml:space="preserve"> года </w:t>
      </w:r>
    </w:p>
    <w:p w:rsidR="002623FC" w:rsidRPr="002623FC" w:rsidRDefault="002623FC" w:rsidP="002623FC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23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Комплексная прог</w:t>
      </w:r>
      <w:r w:rsidR="008776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рамма для  работающей молодежи 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«Школа молодого профсоюзного лидера» (ШМПЛ)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6"/>
      </w:tblGrid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Сфера распространения Программы 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Организации РОСПРОФЖЕЛ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Разработчики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Молодежный совет РОСПРОФЖЕЛ, Молодежный Центр РОСПРОФЖЕЛ, Департамент организационной и кадровой работы Аппарата  ЦК РОСПРОФЖЕЛ.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04287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Мотивация 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осознанного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профсоюзного членства среди молодых работников в возрасте до 35 лет.</w:t>
            </w:r>
            <w:r w:rsidRPr="0085469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Развитие кадрового потенциала 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РОСПРОФЖЕЛ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 счет вовлечения работающей молодежи в активную профсоюзную деятельность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BD0398" w:rsidP="00B57A8D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Январь – 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октябрь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01475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Целевая аудитория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Профсоюзный актив из числа молодежи:</w:t>
            </w:r>
          </w:p>
          <w:p w:rsidR="002623FC" w:rsidRPr="00854695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председатели первичных профсоюзных организаций в  возрасте до 35 лет;</w:t>
            </w:r>
          </w:p>
          <w:p w:rsidR="002623FC" w:rsidRPr="00854695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члены выборных органов профсоюзных организаций в  возрасте до 35 лет;</w:t>
            </w:r>
          </w:p>
          <w:p w:rsidR="002623FC" w:rsidRPr="00854695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председатели, члены молодежных советов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первичных профсоюзных организаций;</w:t>
            </w:r>
          </w:p>
          <w:p w:rsidR="002623FC" w:rsidRPr="00854695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профгрупорги, председатели цеховых профсоюзных  организаций в возрасте до 35 лет;</w:t>
            </w:r>
          </w:p>
          <w:p w:rsidR="0061233D" w:rsidRPr="00854695" w:rsidRDefault="0061233D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штатные сотрудники Профсоюза в возрасте до 35 лет;</w:t>
            </w:r>
          </w:p>
          <w:p w:rsidR="0061233D" w:rsidRPr="00854695" w:rsidRDefault="0061233D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-профсоюзный актив первичных профсоюзных организаций в возрасте до 35 лет.</w:t>
            </w:r>
          </w:p>
          <w:p w:rsidR="002623FC" w:rsidRPr="00854695" w:rsidRDefault="002623FC" w:rsidP="005607A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общей сложности – от 2000 человек.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 задачи и ожидаемые результаты</w:t>
            </w:r>
          </w:p>
        </w:tc>
        <w:tc>
          <w:tcPr>
            <w:tcW w:w="6628" w:type="dxa"/>
            <w:shd w:val="clear" w:color="auto" w:fill="auto"/>
          </w:tcPr>
          <w:p w:rsidR="00B569FC" w:rsidRPr="00854695" w:rsidRDefault="002623FC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Задача 1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Мотивация осознанного профсоюзного членства среди молодых работников в возрасте до 35 лет.</w:t>
            </w:r>
          </w:p>
          <w:p w:rsidR="00B569FC" w:rsidRPr="00854695" w:rsidRDefault="00B569FC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жидаемый результат: популяризация и мотивация  профсоюзного членства  в  РОСПРОФЖЕЛ. Стабильный рост </w:t>
            </w:r>
            <w:r w:rsidR="0061233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осознанного 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профсоюзного членства.</w:t>
            </w:r>
          </w:p>
          <w:p w:rsidR="00B57A8D" w:rsidRPr="00854695" w:rsidRDefault="002623FC" w:rsidP="00B57A8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Задача 2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Вовлечение молодежи в деятельность выборных органов Профсоюза, организаций Профсоюза. Повышение уровня знаний основ профсоюзной деятельности среди молодёжи.</w:t>
            </w:r>
          </w:p>
          <w:p w:rsidR="00B57A8D" w:rsidRPr="00854695" w:rsidRDefault="00B57A8D" w:rsidP="00B57A8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Ожидаемый результат: рост числа молодых людей в возрасте до 35 лет в составе выборных органов, организаций Профсоюза, в составе кадрового резерва на руководящие выборные должности организаций РОСПРОФЖЕЛ.</w:t>
            </w:r>
          </w:p>
          <w:p w:rsidR="002623FC" w:rsidRPr="00854695" w:rsidRDefault="00B57A8D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Задача 3. 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Вовлечение молодежи в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активную 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работу первичных профсоюзных организаций РОСПРОФЖЕЛ.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Ожидаемый результат: рост числа председателей ППО в возрасте до 35 лет.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Задача 4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Активизация деятельности молодежных советов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первичных профсоюзных организаций.</w:t>
            </w:r>
          </w:p>
          <w:p w:rsidR="002623FC" w:rsidRPr="00854695" w:rsidRDefault="00B569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жидаемый результат: создание в организациях РОСПРОФЖЕЛ первичных профсоюзных организаций, молодежных советов, мотивированных на активную профсоюзную работу.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Задача 5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Повышение информированности членов Профсоюза о деятельности РОСПРОФЖЕЛ, в том числе о работе с молодежью.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Ожидаемый результат: </w:t>
            </w:r>
            <w:r w:rsidR="0061233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однятие авторитета и престижности деятельности РОСПРОФЖЕЛ, формирование образ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 Профсоюза, как прогрессивной организации, одним из приоритетных направлений деятельности которой является работа с молодёжью.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Задача 6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 У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силение роли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Профсоюза в защите социально – экономических прав и интересов членов Профсоюза.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Ожидаемый результат: укрепление профсоюзного единства, повышение эффективности деятельности профсоюзных органов.</w:t>
            </w:r>
          </w:p>
          <w:p w:rsidR="00021B91" w:rsidRPr="00854695" w:rsidRDefault="00021B91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реализацией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идеологии, целей и задач Программы, рассмотрение и утверждение изменений Программы – Президиум РОСПРОФЖЕЛ.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Оперативное управление и контроль реализации Программы – организационный комитет Программы.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Оперативное управление и контроль реализации  территориальных составляющих Программы – президиумы дорожных территориальных, территориальных организаций Профсоюза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региональные организационные комитеты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Контроль реализации Программы осуществляется на  основе данных сводного статистического отчета РОСПРОФЖЕЛ, отчетности руководящих органов и молодежных советов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числа публикаций в СМИ, мониторинга общественного мнения, с учетом отзывов рядовых членов Профсоюза.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B57A8D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сновные исполнители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организационной и кадровой работы Аппарата ЦК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финансов, учета и планирования Аппарата ЦК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социального развития Аппарата ЦК Профсоюза;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Правовой департамент Аппарата ЦК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социального партнерства, труда и заработной платы Аппарата ЦК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Техническая инспекция труда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Информационный центр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Президиумы дорожных территориальных, территориальных организаций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Молодежный совет РОСПРОФЖЕЛ.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Молодежный Центр РОСПРОФЖЕЛ.</w:t>
            </w:r>
          </w:p>
          <w:p w:rsidR="00021B91" w:rsidRPr="00854695" w:rsidRDefault="002623FC" w:rsidP="00021B9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Молодежные советы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согласованию).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Концептуальное наполнение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04287E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="002623FC"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рограмма состоит из 3 этапов:</w:t>
            </w:r>
          </w:p>
          <w:p w:rsidR="002623FC" w:rsidRPr="00854695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этап –</w:t>
            </w:r>
            <w:r w:rsidR="0029784E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77637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конкурсный отбор участников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623FC" w:rsidRPr="00854695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второй этап – фестивали профсоюзной молодежи на уровне  территориальных, дорожных территориальных организаций Профсоюза;</w:t>
            </w:r>
          </w:p>
          <w:p w:rsidR="002623FC" w:rsidRPr="00854695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третий этап – единый учебный семинар.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297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этап </w:t>
            </w:r>
            <w:proofErr w:type="gram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="00446F35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proofErr w:type="gramEnd"/>
            <w:r w:rsidR="00446F35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онкурсный отбор участников</w:t>
            </w:r>
          </w:p>
        </w:tc>
        <w:tc>
          <w:tcPr>
            <w:tcW w:w="6628" w:type="dxa"/>
            <w:shd w:val="clear" w:color="auto" w:fill="auto"/>
          </w:tcPr>
          <w:p w:rsidR="00BD0398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этап организуется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филиалами </w:t>
            </w:r>
            <w:proofErr w:type="spellStart"/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уровне объединенных первичных, первичных профсоюзных организаций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 позволяет провести отбор участников Программы в соответствии с  приоритетными направлениями деятельности Профсоюза</w:t>
            </w:r>
            <w:r w:rsidR="0001029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D0398" w:rsidRPr="00854695" w:rsidRDefault="00BD0398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Рекомендуется начинать этап с массовых спортивных мероприятий на уровне филиалов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623FC" w:rsidRPr="00854695" w:rsidRDefault="0001029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реализации 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первого </w:t>
            </w:r>
            <w:r w:rsidR="00BD0398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этапа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формирует </w:t>
            </w:r>
            <w:r w:rsidR="0004287E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региональный о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рганизационный комитет.</w:t>
            </w:r>
          </w:p>
          <w:p w:rsidR="00877637" w:rsidRPr="00854695" w:rsidRDefault="00877637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участия в </w:t>
            </w:r>
            <w:r w:rsidR="00346C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Программе  участнику необходимо:</w:t>
            </w:r>
          </w:p>
          <w:p w:rsidR="00346C96" w:rsidRPr="00854695" w:rsidRDefault="00346C96" w:rsidP="00EE2FD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быть  членом РОСПРОФЖЕЛ</w:t>
            </w:r>
            <w:r w:rsidR="0001029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47572F" w:rsidRPr="00854695" w:rsidRDefault="00346C96" w:rsidP="00EE2FD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быть моложе 35 лет</w:t>
            </w:r>
            <w:r w:rsidR="0001029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1029B" w:rsidRPr="00854695" w:rsidRDefault="0001029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участия в первом этапе Программы участнику необходимо выполнить следующие </w:t>
            </w:r>
            <w:r w:rsidR="001930B9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условия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47572F" w:rsidRPr="00854695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01029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одать 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заявку на участие в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региональный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рганизационный комитет 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Программы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1930B9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47FA8" w:rsidRPr="00854695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ройти  </w:t>
            </w:r>
            <w:r w:rsidR="00847FA8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профсоюзную практику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комитете первичной профсоюзной организации  РОСПРОФЖЕЛ</w:t>
            </w:r>
            <w:r w:rsidR="00AA695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  <w:r w:rsidR="00847FA8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оформить рабочую тетрадь ШМПЛ</w:t>
            </w:r>
            <w:r w:rsidR="0047572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76A52" w:rsidRPr="00854695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proofErr w:type="gram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Пройти тестирование по основам профсоюзной работы (материалы тестирования готовятся Организационным комитетом Программы</w:t>
            </w:r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 считается сданным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если участник дал не менее </w:t>
            </w:r>
            <w:r w:rsidR="00E63219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51% правильных ответов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).</w:t>
            </w:r>
            <w:proofErr w:type="gramEnd"/>
          </w:p>
          <w:p w:rsidR="00676A52" w:rsidRPr="00854695" w:rsidRDefault="00F171A1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Разработать</w:t>
            </w:r>
            <w:r w:rsidR="00676A52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р</w:t>
            </w:r>
            <w:r w:rsidR="006C445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еализовать инновационный </w:t>
            </w:r>
            <w:r w:rsidR="00676A52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</w:t>
            </w:r>
            <w:proofErr w:type="gramStart"/>
            <w:r w:rsidR="00676A52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кт в св</w:t>
            </w:r>
            <w:proofErr w:type="gramEnd"/>
            <w:r w:rsidR="00676A52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оей первичной профсоюзной организации</w:t>
            </w:r>
            <w:r w:rsidR="006C445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одному из Основных направлений деятельности РОСПРОФЖЕЛ на 2016-2020годы.</w:t>
            </w:r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Получить на проект рецензию  председателя ППО, в которой автор с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</w:t>
            </w:r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тои</w:t>
            </w:r>
            <w:r w:rsidR="0008704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 на профсоюзном учете.</w:t>
            </w:r>
          </w:p>
          <w:p w:rsidR="0008704C" w:rsidRPr="00854695" w:rsidRDefault="0008704C" w:rsidP="0008704C">
            <w:pPr>
              <w:suppressAutoHyphens/>
              <w:spacing w:after="0"/>
              <w:ind w:firstLine="56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Возможные направления проектов:</w:t>
            </w:r>
          </w:p>
          <w:p w:rsidR="0008704C" w:rsidRPr="00854695" w:rsidRDefault="0008704C" w:rsidP="0008704C">
            <w:pPr>
              <w:pStyle w:val="af0"/>
              <w:numPr>
                <w:ilvl w:val="0"/>
                <w:numId w:val="25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социального партнерства,</w:t>
            </w:r>
          </w:p>
          <w:p w:rsidR="0008704C" w:rsidRPr="00854695" w:rsidRDefault="0008704C" w:rsidP="0008704C">
            <w:pPr>
              <w:pStyle w:val="af0"/>
              <w:numPr>
                <w:ilvl w:val="0"/>
                <w:numId w:val="25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Оплата труда и занятость работников,</w:t>
            </w:r>
          </w:p>
          <w:p w:rsidR="0008704C" w:rsidRPr="00854695" w:rsidRDefault="0008704C" w:rsidP="0008704C">
            <w:pPr>
              <w:pStyle w:val="af0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Охрана труда,</w:t>
            </w:r>
          </w:p>
          <w:p w:rsidR="0008704C" w:rsidRPr="00854695" w:rsidRDefault="0008704C" w:rsidP="0008704C">
            <w:pPr>
              <w:pStyle w:val="af0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Правовая защита,</w:t>
            </w:r>
          </w:p>
          <w:p w:rsidR="0008704C" w:rsidRPr="00854695" w:rsidRDefault="0008704C" w:rsidP="0008704C">
            <w:pPr>
              <w:pStyle w:val="af0"/>
              <w:numPr>
                <w:ilvl w:val="0"/>
                <w:numId w:val="25"/>
              </w:numPr>
              <w:shd w:val="clear" w:color="auto" w:fill="FFFFFF"/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Организационная и кадровая работа,</w:t>
            </w:r>
          </w:p>
          <w:p w:rsidR="0008704C" w:rsidRPr="00854695" w:rsidRDefault="0008704C" w:rsidP="0008704C">
            <w:pPr>
              <w:pStyle w:val="af0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работа.</w:t>
            </w:r>
          </w:p>
          <w:p w:rsidR="00676A52" w:rsidRPr="00854695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Сформировать отчет о проекте по форме, утвержденной Организационным комитетом Программы и направить его в </w:t>
            </w:r>
            <w:r w:rsidR="00847FA8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региональный о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рганизационный комитет</w:t>
            </w:r>
            <w:r w:rsidR="0092201A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конкурсной экспертизы и оценки.</w:t>
            </w:r>
          </w:p>
          <w:p w:rsidR="00E37563" w:rsidRPr="00854695" w:rsidRDefault="00E37563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проведения: 2 - 3 месяца.</w:t>
            </w:r>
          </w:p>
          <w:p w:rsidR="002623FC" w:rsidRPr="00854695" w:rsidRDefault="002623FC" w:rsidP="00756DB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этапа – средства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AA695B" w:rsidRPr="00854695" w:rsidRDefault="00AA695B" w:rsidP="00F171A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*Для председателей ППО возможно прохождение профсоюзной практики в вышестоящей организации, разработка и внедрение проекта на уровне своей ППО или вышестоящей организации.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Для штатных работников Профсоюза программу профсоюзной стажировки определяет индивидуально</w:t>
            </w:r>
            <w:r w:rsidR="003D1A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соответствующий региональный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D1A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организационный комитет. Проект таким участником разрабатывается и внедряется </w:t>
            </w:r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совместно </w:t>
            </w:r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 </w:t>
            </w:r>
            <w:r w:rsidR="003D1A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молодёжн</w:t>
            </w:r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ым </w:t>
            </w:r>
            <w:r w:rsidR="003D1A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</w:t>
            </w:r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ом </w:t>
            </w:r>
            <w:proofErr w:type="spellStart"/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филиала </w:t>
            </w:r>
            <w:proofErr w:type="spellStart"/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171A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3D1A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0D25E5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 втором этапе молодые председатели ППО и штатные работники участвуют наравне с остальными участниками Программы.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Второй этап – Фестиваль </w:t>
            </w:r>
          </w:p>
        </w:tc>
        <w:tc>
          <w:tcPr>
            <w:tcW w:w="6628" w:type="dxa"/>
            <w:shd w:val="clear" w:color="auto" w:fill="auto"/>
          </w:tcPr>
          <w:p w:rsidR="00E37563" w:rsidRPr="00854695" w:rsidRDefault="002623FC" w:rsidP="00E3756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Второй этап Программы проводится в </w:t>
            </w:r>
            <w:r w:rsidR="0051743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формате Социального фестиваля. Ко второму этапу ШМПЛ допускаются в</w:t>
            </w:r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 участники первого этапа, сдавшие профсоюзный тест, оформившие рабочую тетрадь ШМПЛ, прошедшие профсоюзную практику в Комитете ППО, реализовавшие свой проект и получившие на него рецензию председателя ППО, в которой</w:t>
            </w:r>
            <w:r w:rsidR="0051743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они состоят на профсоюзном учете</w:t>
            </w:r>
            <w:r w:rsidR="00E37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5220A4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Победителями 2 этапа становятся  участники, набравшие в сумме по итогам профсоюзного тестирования и оценки проекта максимальный балл. 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рамках фестиваля </w:t>
            </w:r>
            <w:r w:rsidR="0051743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предусматриваются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следующие мероприятия:</w:t>
            </w:r>
          </w:p>
          <w:p w:rsidR="002623FC" w:rsidRPr="00854695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встреча председателя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участниками Фестиваля;</w:t>
            </w:r>
          </w:p>
          <w:p w:rsidR="002623FC" w:rsidRPr="00854695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и галерея проектов;</w:t>
            </w:r>
          </w:p>
          <w:p w:rsidR="002623FC" w:rsidRPr="00854695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 о Профсоюзе;</w:t>
            </w:r>
          </w:p>
          <w:p w:rsidR="002623FC" w:rsidRPr="00854695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открытая встреча с руководителями филиалов ОАО «РЖД», дочерних и зависимых обществ ОАО «РЖД» и т.п.;</w:t>
            </w:r>
          </w:p>
          <w:p w:rsidR="002623FC" w:rsidRPr="00854695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подведение итогов первого этапа, торжественная церемония награждения победителей.</w:t>
            </w:r>
            <w:r w:rsidR="005220A4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Предполагаемая  аудитория: </w:t>
            </w:r>
            <w:r w:rsidR="00756DB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50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человек на каждом фестивале.</w:t>
            </w:r>
          </w:p>
          <w:p w:rsidR="006C4450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фестиваля проводится в соответствии с рекомендациями и типовыми положениями о фестивале, разработанными </w:t>
            </w:r>
            <w:r w:rsidR="006C445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Организационным комитетом Программы.</w:t>
            </w:r>
            <w:r w:rsidR="005220A4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623FC" w:rsidRPr="00854695" w:rsidRDefault="002623FC" w:rsidP="0051743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этапа - средств</w:t>
            </w:r>
            <w:r w:rsidR="0051743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Третий этап – Единый учебный семинар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 третий этап приглашаются участники, чьи работы были отмечены на </w:t>
            </w:r>
            <w:r w:rsidR="001A285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втором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</w:t>
            </w:r>
            <w:r w:rsidR="006C445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56DB1" w:rsidRPr="00854695" w:rsidRDefault="002623FC" w:rsidP="00756DB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Лучшие работы, отобранные </w:t>
            </w:r>
            <w:r w:rsidR="006C445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6C445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втором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этапе Программы,  предоставляются в ЦК РОСПРОФЖЕЛ за 1 месяц до проведения Единого учебного семинара. Организационным комитетом конкурса определяется победитель</w:t>
            </w:r>
            <w:r w:rsidR="0004287E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6C445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каждому  из Основных направлений деятельности РОСПРОФЖЕЛ.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Победителям в качестве награждения вручается Диплом</w:t>
            </w:r>
            <w:r w:rsidR="00756DB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сертификат (по согласованию) на предоставление квоты на получение первого или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второго высшего образования в Академии труда  и социальных отношений, Санкт – Петербургского гуманитарного университета профсоюзов, их филиалов, </w:t>
            </w:r>
            <w:r w:rsidR="00756DB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756DB1" w:rsidRPr="00854695">
              <w:rPr>
                <w:rFonts w:ascii="Times New Roman" w:hAnsi="Times New Roman"/>
                <w:bCs/>
                <w:sz w:val="28"/>
                <w:szCs w:val="28"/>
              </w:rPr>
              <w:t>ертификат на оздоровительную путевку с правом реализации в следующем за</w:t>
            </w:r>
            <w:r w:rsidR="00517430" w:rsidRPr="00854695">
              <w:rPr>
                <w:rFonts w:ascii="Times New Roman" w:hAnsi="Times New Roman"/>
                <w:bCs/>
                <w:sz w:val="28"/>
                <w:szCs w:val="28"/>
              </w:rPr>
              <w:t xml:space="preserve"> годом проведения </w:t>
            </w:r>
            <w:r w:rsidR="00756DB1" w:rsidRPr="00854695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</w:t>
            </w:r>
            <w:r w:rsidR="00517430" w:rsidRPr="00854695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756DB1" w:rsidRPr="0085469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623FC" w:rsidRPr="00854695" w:rsidRDefault="00F244E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Третий этап проводится в формате очного учебного семинара.</w:t>
            </w:r>
          </w:p>
          <w:p w:rsidR="00F244EB" w:rsidRPr="00854695" w:rsidRDefault="00F244E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Направления обучения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56DB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оответствуют приоритетным задачам и Основным направлениям деятельности РОСПРОФЖЕЛ на 2016-2020годы.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Предполагаемая аудитория до 120 человек.</w:t>
            </w:r>
          </w:p>
          <w:p w:rsidR="002623FC" w:rsidRPr="00854695" w:rsidRDefault="002623FC" w:rsidP="0051743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</w:t>
            </w:r>
            <w:r w:rsidR="0051743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третьего этапа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17430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осуществляется за счёт средств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ЦК РОСПРОФЖЕЛ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04287E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роезд участников и командировочные расходы </w:t>
            </w:r>
            <w:r w:rsidR="0004287E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="0004287E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 счёт командирующей стороны (по согласованию)</w:t>
            </w:r>
            <w:r w:rsidR="0004287E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6628" w:type="dxa"/>
            <w:shd w:val="clear" w:color="auto" w:fill="auto"/>
          </w:tcPr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Программы осуществляется за счет средств, поступающих по коллективным договорам.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Программы ведется Центральным комитетом РОСПРОФЖЕЛ, дорожными территориальными и территориальными  организациями РОСПРОФЖЕЛ.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стоимость 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рограммы входит проживание и питание участников Программы, изготовление единой формы  одежды,</w:t>
            </w:r>
            <w:r w:rsidR="001A285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раздаточного материала, </w:t>
            </w:r>
            <w:r w:rsidRPr="0085469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аренда техники и помещений, призовой фонд фестивалей, обеспечение учебной части Программы – фонд оплаты труда и транспортные расходы, питание и проживание лекторов и трене</w:t>
            </w:r>
            <w:r w:rsidR="00F244E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ров, обеспечение культурной программы.</w:t>
            </w:r>
          </w:p>
        </w:tc>
      </w:tr>
    </w:tbl>
    <w:p w:rsidR="002623FC" w:rsidRDefault="002623FC" w:rsidP="00FA3D88">
      <w:pPr>
        <w:keepNext/>
        <w:tabs>
          <w:tab w:val="left" w:pos="7088"/>
        </w:tabs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91EE1" w:rsidRDefault="00B91EE1" w:rsidP="002623F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EE1" w:rsidRDefault="00B91EE1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AEF" w:rsidRDefault="00FA3D88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D88">
        <w:rPr>
          <w:rFonts w:ascii="Times New Roman" w:hAnsi="Times New Roman"/>
          <w:sz w:val="28"/>
          <w:szCs w:val="28"/>
        </w:rPr>
        <w:t xml:space="preserve">  </w:t>
      </w:r>
    </w:p>
    <w:p w:rsidR="00FA3D88" w:rsidRPr="00FA3D88" w:rsidRDefault="00D90AEF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FA3D88" w:rsidRPr="00FA3D88" w:rsidTr="00514811">
        <w:trPr>
          <w:trHeight w:val="1410"/>
        </w:trPr>
        <w:tc>
          <w:tcPr>
            <w:tcW w:w="4503" w:type="dxa"/>
          </w:tcPr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528" w:type="dxa"/>
          </w:tcPr>
          <w:p w:rsidR="003D6EA9" w:rsidRPr="00BF54A2" w:rsidRDefault="003D6EA9" w:rsidP="00BF54A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="00734036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№</w:t>
            </w:r>
            <w:r w:rsidR="006855E9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34036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>к п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остановлению                                                           </w:t>
            </w:r>
          </w:p>
          <w:p w:rsidR="00057035" w:rsidRPr="00BF54A2" w:rsidRDefault="00057035" w:rsidP="00BF54A2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    Президиума  Профсоюза № 11.01          </w:t>
            </w:r>
          </w:p>
          <w:p w:rsidR="00057035" w:rsidRPr="00BF54A2" w:rsidRDefault="00057035" w:rsidP="00BF54A2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от«13» декабря</w:t>
            </w:r>
            <w:r w:rsid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2017 года </w:t>
            </w:r>
          </w:p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FA3D88" w:rsidRPr="00FA3D88" w:rsidRDefault="004736C2" w:rsidP="00FA3D8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FA3D88"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реализации комплексной программы </w:t>
      </w:r>
    </w:p>
    <w:p w:rsidR="00FA3D88" w:rsidRPr="00FA3D88" w:rsidRDefault="00FA3D88" w:rsidP="00FA3D8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«Школа молод</w:t>
      </w:r>
      <w:r w:rsidR="003D6EA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ого профсоюзного лидера» на </w:t>
      </w:r>
      <w:r w:rsidR="006B0AD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2018 год</w:t>
      </w: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br/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2375"/>
        <w:gridCol w:w="35"/>
        <w:gridCol w:w="2403"/>
      </w:tblGrid>
      <w:tr w:rsidR="00FA3D88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4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8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CF74E5" w:rsidRPr="00514811" w:rsidRDefault="00CF74E5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A3D88" w:rsidRPr="00514811" w:rsidTr="00C23BB2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D88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Адаптация  типовых документов для проведения 1 и 2 этапа ШМПЛ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3D6EA9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Дорпрофжел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</w:p>
        </w:tc>
      </w:tr>
      <w:tr w:rsidR="00FA3D88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0825FF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Сбор заявок на участие в Программе </w:t>
            </w:r>
            <w:r w:rsidR="00FA3D88" w:rsidRPr="00514811">
              <w:rPr>
                <w:rFonts w:ascii="Times New Roman" w:hAnsi="Times New Roman"/>
                <w:sz w:val="24"/>
                <w:szCs w:val="24"/>
              </w:rPr>
              <w:t xml:space="preserve">(1этап ШМПЛ)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34036" w:rsidRPr="005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11">
              <w:rPr>
                <w:rFonts w:ascii="Times New Roman" w:hAnsi="Times New Roman"/>
                <w:sz w:val="24"/>
                <w:szCs w:val="24"/>
              </w:rPr>
              <w:t>-</w:t>
            </w:r>
            <w:r w:rsidR="00734036" w:rsidRPr="005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5FF" w:rsidRPr="00514811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5148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AA7B79" w:rsidP="00B27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Дорпрофжел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727" w:rsidRPr="00514811" w:rsidRDefault="00B27727" w:rsidP="00B27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Председатели ППО, ОППО</w:t>
            </w:r>
          </w:p>
          <w:p w:rsidR="00B27727" w:rsidRPr="00514811" w:rsidRDefault="00B27727" w:rsidP="00B27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Молодежные советы</w:t>
            </w:r>
          </w:p>
        </w:tc>
      </w:tr>
      <w:tr w:rsidR="000825FF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514811" w:rsidRDefault="00845324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514811" w:rsidRDefault="000825FF" w:rsidP="00B27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Прохождение участниками ШМПЛ </w:t>
            </w:r>
            <w:r w:rsidR="00B27727" w:rsidRPr="00514811">
              <w:rPr>
                <w:rFonts w:ascii="Times New Roman" w:hAnsi="Times New Roman"/>
                <w:sz w:val="24"/>
                <w:szCs w:val="24"/>
              </w:rPr>
              <w:t xml:space="preserve">профсоюзной </w:t>
            </w: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514811" w:rsidRDefault="000825FF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Дорпрофжел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25FF" w:rsidRPr="00514811"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  <w:r w:rsidRPr="00514811">
              <w:rPr>
                <w:rFonts w:ascii="Times New Roman" w:hAnsi="Times New Roman"/>
                <w:sz w:val="24"/>
                <w:szCs w:val="24"/>
              </w:rPr>
              <w:t>, ОППО</w:t>
            </w:r>
          </w:p>
        </w:tc>
      </w:tr>
      <w:tr w:rsidR="00845324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514811" w:rsidRDefault="00845324" w:rsidP="00C511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514811" w:rsidRDefault="00845324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Написание участниками ШМПЛ проектов и их реализация.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514811" w:rsidRDefault="00845324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Дорпрофжел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>, Председатели ППО, ОППО</w:t>
            </w:r>
          </w:p>
        </w:tc>
      </w:tr>
      <w:tr w:rsidR="00B27727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514811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Единое профсоюзное 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514811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514811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Аппарат ЦК РОСПРОФЖЕЛ</w:t>
            </w:r>
          </w:p>
        </w:tc>
      </w:tr>
      <w:tr w:rsidR="00B27727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Формирование отчетов по реализации проектов, направление материалов в региональные  организационные комитеты.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B27727" w:rsidRPr="00514811" w:rsidTr="00C23BB2">
        <w:trPr>
          <w:trHeight w:val="1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молодёжных социальных фестивалей  (2 этапа ШМПЛ)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Июнь – июль </w:t>
            </w:r>
          </w:p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Дорпрофжел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>, члены Молодежного совета РОСПРОФЖЕЛ</w:t>
            </w:r>
          </w:p>
        </w:tc>
      </w:tr>
      <w:tr w:rsidR="00B27727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Предоставление конкурсных работ в организационный  комитет конкурса в ЦК РОСПРОФЖЕЛ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3D6E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До 20 августа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Дорпрофжел</w:t>
            </w:r>
            <w:proofErr w:type="spellEnd"/>
            <w:r w:rsidRPr="00514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Терпрофжел</w:t>
            </w:r>
            <w:proofErr w:type="spellEnd"/>
          </w:p>
        </w:tc>
      </w:tr>
      <w:tr w:rsidR="00B27727" w:rsidRPr="00514811" w:rsidTr="00C23B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учебного семинара – (3 этапа  ШМПЛ)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0F6512" w:rsidP="003D6E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27727" w:rsidRPr="005148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Аппарат ЦК РОСПРОФЖЕЛ,</w:t>
            </w:r>
          </w:p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Молодежного совета РОСПРОФЖЕЛ</w:t>
            </w:r>
          </w:p>
        </w:tc>
      </w:tr>
    </w:tbl>
    <w:p w:rsidR="00C23BB2" w:rsidRDefault="00C23BB2">
      <w:r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27727" w:rsidRPr="00BF54A2" w:rsidTr="00C23BB2">
        <w:trPr>
          <w:trHeight w:val="1203"/>
        </w:trPr>
        <w:tc>
          <w:tcPr>
            <w:tcW w:w="10031" w:type="dxa"/>
          </w:tcPr>
          <w:p w:rsidR="00B27727" w:rsidRPr="00514811" w:rsidRDefault="00B27727" w:rsidP="00BF54A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1481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                      Приложение № 3 к постановлению                                                           </w:t>
            </w:r>
          </w:p>
          <w:p w:rsidR="00057035" w:rsidRPr="00BF54A2" w:rsidRDefault="00B27727" w:rsidP="00057035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</w:t>
            </w:r>
            <w:r w:rsidR="00057035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Президиума  Профсоюза № 11.01          </w:t>
            </w:r>
          </w:p>
          <w:p w:rsidR="00B27727" w:rsidRPr="00BF54A2" w:rsidRDefault="00057035" w:rsidP="00BF54A2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от«13» декабря</w:t>
            </w:r>
            <w:r w:rsid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2017 года </w:t>
            </w:r>
          </w:p>
        </w:tc>
      </w:tr>
    </w:tbl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комплексной программы для работающей молодёжи 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«Школа молодого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профсоюзного лидера» на 2016</w:t>
      </w: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476"/>
        <w:gridCol w:w="3174"/>
        <w:gridCol w:w="310"/>
        <w:gridCol w:w="6164"/>
      </w:tblGrid>
      <w:tr w:rsidR="006855E9" w:rsidRPr="00FA3D88" w:rsidTr="00EE2FDF"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855E9" w:rsidRDefault="00D90AEF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:rsidR="00D90AEF" w:rsidRDefault="00D90AEF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2216FA" w:rsidRPr="00FA3D88" w:rsidRDefault="002216FA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FFFFFF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Заместитель Председателя РОСПРОФЖЕЛ ;</w:t>
            </w: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:rsidR="002216FA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Руководитель Департамента организационной и кадровой работы Аппарата ЦК  РОСПРОФЖЕЛ</w:t>
            </w: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 w:rsidR="002216FA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Зинаида 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Департамента финансов, учёта и планирования Аппарата ЦК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 РОСПРОФЖЕЛ</w:t>
            </w: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855E9" w:rsidRDefault="00845324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Налетов </w:t>
            </w:r>
          </w:p>
          <w:p w:rsidR="00845324" w:rsidRDefault="00845324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2216FA" w:rsidRPr="00FA3D88" w:rsidRDefault="002216FA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Технической инспекции труда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 РОСПРОФЖЕЛ</w:t>
            </w: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855E9" w:rsidRDefault="00845324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Пашкалова</w:t>
            </w:r>
          </w:p>
          <w:p w:rsidR="00845324" w:rsidRDefault="00845324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45324" w:rsidRPr="00845324" w:rsidRDefault="00845324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информационного центра –главный редактор </w:t>
            </w:r>
            <w:r w:rsidR="00734036">
              <w:rPr>
                <w:rFonts w:ascii="Times New Roman" w:hAnsi="Times New Roman"/>
                <w:sz w:val="28"/>
                <w:szCs w:val="28"/>
              </w:rPr>
              <w:t>печатных изданий  РОСПРОФЖЕЛ</w:t>
            </w: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Лощагин </w:t>
            </w:r>
          </w:p>
          <w:p w:rsidR="002216FA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Руководитель Департамента социального партнерства, труда и заработно</w:t>
            </w:r>
            <w:r w:rsidR="00734036">
              <w:rPr>
                <w:rFonts w:ascii="Times New Roman" w:hAnsi="Times New Roman"/>
                <w:sz w:val="28"/>
                <w:szCs w:val="28"/>
              </w:rPr>
              <w:t>й платы Аппарата ЦК  РОСПРОФЖЕЛ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Купреев </w:t>
            </w:r>
          </w:p>
          <w:p w:rsidR="002216FA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Яков 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Правового Департамента Аппарата ЦК  </w:t>
            </w:r>
            <w:r w:rsidR="00734036">
              <w:rPr>
                <w:rFonts w:ascii="Times New Roman" w:hAnsi="Times New Roman"/>
                <w:sz w:val="28"/>
                <w:szCs w:val="28"/>
              </w:rPr>
              <w:t>РОСПРОФЖЕЛ</w:t>
            </w:r>
          </w:p>
        </w:tc>
      </w:tr>
      <w:tr w:rsidR="006855E9" w:rsidRPr="00FA3D88" w:rsidTr="00EE2FDF">
        <w:trPr>
          <w:trHeight w:val="702"/>
        </w:trPr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855E9" w:rsidRDefault="002216FA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Шеболдин</w:t>
            </w:r>
          </w:p>
          <w:p w:rsidR="002216FA" w:rsidRDefault="002216FA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2216FA" w:rsidRPr="00FA3D88" w:rsidRDefault="002216FA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социального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Аппарата ЦК</w:t>
            </w:r>
            <w:r w:rsidR="00734036">
              <w:rPr>
                <w:rFonts w:ascii="Times New Roman" w:hAnsi="Times New Roman"/>
                <w:sz w:val="28"/>
                <w:szCs w:val="28"/>
              </w:rPr>
              <w:t xml:space="preserve"> РОСПРОФЖЕЛ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855E9" w:rsidRDefault="002216FA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</w:t>
            </w:r>
          </w:p>
          <w:p w:rsidR="002216FA" w:rsidRDefault="002216FA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</w:t>
            </w:r>
          </w:p>
          <w:p w:rsidR="006855E9" w:rsidRPr="00FA3D88" w:rsidRDefault="002216FA" w:rsidP="000B03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6855E9" w:rsidP="002216F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ксперт Департамента организационной и кадровой </w:t>
            </w:r>
            <w:r w:rsidR="002216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4036">
              <w:rPr>
                <w:rFonts w:ascii="Times New Roman" w:hAnsi="Times New Roman"/>
                <w:sz w:val="28"/>
                <w:szCs w:val="28"/>
              </w:rPr>
              <w:t>работы Аппарата ЦК РОСПРОФЖЕЛ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>, председатель Молодежного совета  РОСПРОФЖЕЛ.</w:t>
            </w:r>
          </w:p>
        </w:tc>
      </w:tr>
      <w:tr w:rsidR="006855E9" w:rsidRPr="00FA3D88" w:rsidTr="00EE2FDF"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5E9" w:rsidRPr="00FA3D88" w:rsidRDefault="006855E9" w:rsidP="006855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855E9" w:rsidRPr="00FA3D88" w:rsidSect="00B57A8D">
      <w:pgSz w:w="11905" w:h="16837"/>
      <w:pgMar w:top="567" w:right="1134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C8" w:rsidRDefault="00A014C8" w:rsidP="00986A73">
      <w:pPr>
        <w:spacing w:after="0" w:line="240" w:lineRule="auto"/>
      </w:pPr>
      <w:r>
        <w:separator/>
      </w:r>
    </w:p>
  </w:endnote>
  <w:endnote w:type="continuationSeparator" w:id="0">
    <w:p w:rsidR="00A014C8" w:rsidRDefault="00A014C8" w:rsidP="009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C8" w:rsidRDefault="00A014C8" w:rsidP="00986A73">
      <w:pPr>
        <w:spacing w:after="0" w:line="240" w:lineRule="auto"/>
      </w:pPr>
      <w:r>
        <w:separator/>
      </w:r>
    </w:p>
  </w:footnote>
  <w:footnote w:type="continuationSeparator" w:id="0">
    <w:p w:rsidR="00A014C8" w:rsidRDefault="00A014C8" w:rsidP="0098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A25CF"/>
    <w:multiLevelType w:val="hybridMultilevel"/>
    <w:tmpl w:val="BE5EA81E"/>
    <w:lvl w:ilvl="0" w:tplc="D99A6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0B542E"/>
    <w:multiLevelType w:val="multilevel"/>
    <w:tmpl w:val="082CD9E8"/>
    <w:lvl w:ilvl="0">
      <w:start w:val="5"/>
      <w:numFmt w:val="none"/>
      <w:lvlText w:val="5.3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DB7A82"/>
    <w:multiLevelType w:val="multilevel"/>
    <w:tmpl w:val="4E64A7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95220EA"/>
    <w:multiLevelType w:val="hybridMultilevel"/>
    <w:tmpl w:val="F0D8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6DE5"/>
    <w:multiLevelType w:val="multilevel"/>
    <w:tmpl w:val="62D4BA1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1A14625"/>
    <w:multiLevelType w:val="hybridMultilevel"/>
    <w:tmpl w:val="6D1A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A0E22"/>
    <w:multiLevelType w:val="hybridMultilevel"/>
    <w:tmpl w:val="E7DA5A7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D509A"/>
    <w:multiLevelType w:val="multilevel"/>
    <w:tmpl w:val="FC5CE0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23F6247"/>
    <w:multiLevelType w:val="multilevel"/>
    <w:tmpl w:val="635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A22ADE"/>
    <w:multiLevelType w:val="hybridMultilevel"/>
    <w:tmpl w:val="78E45D94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C2D78"/>
    <w:multiLevelType w:val="hybridMultilevel"/>
    <w:tmpl w:val="047C592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20A02"/>
    <w:multiLevelType w:val="hybridMultilevel"/>
    <w:tmpl w:val="B26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B4567"/>
    <w:multiLevelType w:val="multilevel"/>
    <w:tmpl w:val="AA027F5C"/>
    <w:lvl w:ilvl="0">
      <w:start w:val="6"/>
      <w:numFmt w:val="none"/>
      <w:lvlText w:val="9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01A4623"/>
    <w:multiLevelType w:val="hybridMultilevel"/>
    <w:tmpl w:val="E22E8BF4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E5354"/>
    <w:multiLevelType w:val="multilevel"/>
    <w:tmpl w:val="3B94F13A"/>
    <w:lvl w:ilvl="0">
      <w:start w:val="5"/>
      <w:numFmt w:val="none"/>
      <w:lvlText w:val="8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A4FC2"/>
    <w:multiLevelType w:val="hybridMultilevel"/>
    <w:tmpl w:val="F58EEF3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20FC0"/>
    <w:multiLevelType w:val="hybridMultilevel"/>
    <w:tmpl w:val="D9485D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310F"/>
    <w:multiLevelType w:val="hybridMultilevel"/>
    <w:tmpl w:val="6DB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0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21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13"/>
  </w:num>
  <w:num w:numId="22">
    <w:abstractNumId w:val="5"/>
  </w:num>
  <w:num w:numId="23">
    <w:abstractNumId w:val="2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01107"/>
    <w:rsid w:val="00006394"/>
    <w:rsid w:val="0001029B"/>
    <w:rsid w:val="000146A5"/>
    <w:rsid w:val="00021B91"/>
    <w:rsid w:val="00034C19"/>
    <w:rsid w:val="0004287E"/>
    <w:rsid w:val="00057035"/>
    <w:rsid w:val="000825FF"/>
    <w:rsid w:val="0008704C"/>
    <w:rsid w:val="00096F67"/>
    <w:rsid w:val="000A12E3"/>
    <w:rsid w:val="000B033A"/>
    <w:rsid w:val="000D25E5"/>
    <w:rsid w:val="000D330B"/>
    <w:rsid w:val="000D7DB0"/>
    <w:rsid w:val="000E45BA"/>
    <w:rsid w:val="000E55CB"/>
    <w:rsid w:val="000F0E03"/>
    <w:rsid w:val="000F1531"/>
    <w:rsid w:val="000F6512"/>
    <w:rsid w:val="00132BAB"/>
    <w:rsid w:val="00154CAE"/>
    <w:rsid w:val="0015653C"/>
    <w:rsid w:val="001766DB"/>
    <w:rsid w:val="00187336"/>
    <w:rsid w:val="001930B9"/>
    <w:rsid w:val="0019648E"/>
    <w:rsid w:val="001A2851"/>
    <w:rsid w:val="001E3E90"/>
    <w:rsid w:val="001E6F76"/>
    <w:rsid w:val="001F2590"/>
    <w:rsid w:val="001F35A0"/>
    <w:rsid w:val="00201475"/>
    <w:rsid w:val="002216FA"/>
    <w:rsid w:val="002435AF"/>
    <w:rsid w:val="00243723"/>
    <w:rsid w:val="002623FC"/>
    <w:rsid w:val="00273AF0"/>
    <w:rsid w:val="002775E1"/>
    <w:rsid w:val="00296F7F"/>
    <w:rsid w:val="0029784E"/>
    <w:rsid w:val="002A516B"/>
    <w:rsid w:val="002C0437"/>
    <w:rsid w:val="002E026C"/>
    <w:rsid w:val="002E59E3"/>
    <w:rsid w:val="00324508"/>
    <w:rsid w:val="00346C96"/>
    <w:rsid w:val="0036281F"/>
    <w:rsid w:val="00371934"/>
    <w:rsid w:val="00371CC3"/>
    <w:rsid w:val="00390A42"/>
    <w:rsid w:val="00395A02"/>
    <w:rsid w:val="003B38FF"/>
    <w:rsid w:val="003B6346"/>
    <w:rsid w:val="003D1A96"/>
    <w:rsid w:val="003D3D9C"/>
    <w:rsid w:val="003D608B"/>
    <w:rsid w:val="003D6EA9"/>
    <w:rsid w:val="00423459"/>
    <w:rsid w:val="00423D42"/>
    <w:rsid w:val="00427F44"/>
    <w:rsid w:val="004300A7"/>
    <w:rsid w:val="0044379C"/>
    <w:rsid w:val="00446F35"/>
    <w:rsid w:val="0045395C"/>
    <w:rsid w:val="004613A7"/>
    <w:rsid w:val="00463C92"/>
    <w:rsid w:val="004734A0"/>
    <w:rsid w:val="004736C2"/>
    <w:rsid w:val="0047572F"/>
    <w:rsid w:val="004759C9"/>
    <w:rsid w:val="004979B9"/>
    <w:rsid w:val="004B3A41"/>
    <w:rsid w:val="004B7656"/>
    <w:rsid w:val="004D5262"/>
    <w:rsid w:val="004D6424"/>
    <w:rsid w:val="00514811"/>
    <w:rsid w:val="00517430"/>
    <w:rsid w:val="005220A4"/>
    <w:rsid w:val="00523355"/>
    <w:rsid w:val="00542652"/>
    <w:rsid w:val="005607AD"/>
    <w:rsid w:val="005A0EEF"/>
    <w:rsid w:val="005A295A"/>
    <w:rsid w:val="005B6F77"/>
    <w:rsid w:val="005D3A2C"/>
    <w:rsid w:val="005E22BC"/>
    <w:rsid w:val="005F511C"/>
    <w:rsid w:val="00611819"/>
    <w:rsid w:val="0061233D"/>
    <w:rsid w:val="0062528D"/>
    <w:rsid w:val="00661F37"/>
    <w:rsid w:val="006645DD"/>
    <w:rsid w:val="00667402"/>
    <w:rsid w:val="00676A52"/>
    <w:rsid w:val="006773F8"/>
    <w:rsid w:val="006855E9"/>
    <w:rsid w:val="00691216"/>
    <w:rsid w:val="00693901"/>
    <w:rsid w:val="006A4401"/>
    <w:rsid w:val="006A4B0A"/>
    <w:rsid w:val="006B0AD0"/>
    <w:rsid w:val="006C4450"/>
    <w:rsid w:val="006F0461"/>
    <w:rsid w:val="00706B11"/>
    <w:rsid w:val="0070724A"/>
    <w:rsid w:val="00731484"/>
    <w:rsid w:val="00734036"/>
    <w:rsid w:val="00756DB1"/>
    <w:rsid w:val="007747BA"/>
    <w:rsid w:val="007A6184"/>
    <w:rsid w:val="007B1A6B"/>
    <w:rsid w:val="007C196C"/>
    <w:rsid w:val="007C5CC2"/>
    <w:rsid w:val="007E490C"/>
    <w:rsid w:val="007F1DB6"/>
    <w:rsid w:val="00806F46"/>
    <w:rsid w:val="008164BE"/>
    <w:rsid w:val="008215E0"/>
    <w:rsid w:val="0083257F"/>
    <w:rsid w:val="00845324"/>
    <w:rsid w:val="00847FA8"/>
    <w:rsid w:val="00852638"/>
    <w:rsid w:val="008526C5"/>
    <w:rsid w:val="00854695"/>
    <w:rsid w:val="00877637"/>
    <w:rsid w:val="008C7AC3"/>
    <w:rsid w:val="008F4A9D"/>
    <w:rsid w:val="008F585F"/>
    <w:rsid w:val="0092201A"/>
    <w:rsid w:val="00922A5E"/>
    <w:rsid w:val="00947C91"/>
    <w:rsid w:val="00953356"/>
    <w:rsid w:val="0096114D"/>
    <w:rsid w:val="00962C2E"/>
    <w:rsid w:val="00986A73"/>
    <w:rsid w:val="009F0ABE"/>
    <w:rsid w:val="00A00150"/>
    <w:rsid w:val="00A014C8"/>
    <w:rsid w:val="00A029C5"/>
    <w:rsid w:val="00A0699C"/>
    <w:rsid w:val="00A35C41"/>
    <w:rsid w:val="00A45AC3"/>
    <w:rsid w:val="00A52D7C"/>
    <w:rsid w:val="00A714FC"/>
    <w:rsid w:val="00AA1332"/>
    <w:rsid w:val="00AA695B"/>
    <w:rsid w:val="00AA7325"/>
    <w:rsid w:val="00AA7B79"/>
    <w:rsid w:val="00AB3C85"/>
    <w:rsid w:val="00AD14B1"/>
    <w:rsid w:val="00B27727"/>
    <w:rsid w:val="00B5096C"/>
    <w:rsid w:val="00B55A6A"/>
    <w:rsid w:val="00B569FC"/>
    <w:rsid w:val="00B56D89"/>
    <w:rsid w:val="00B57A8D"/>
    <w:rsid w:val="00B85E5B"/>
    <w:rsid w:val="00B91EE1"/>
    <w:rsid w:val="00BB0D64"/>
    <w:rsid w:val="00BB6C7B"/>
    <w:rsid w:val="00BD0398"/>
    <w:rsid w:val="00BD384F"/>
    <w:rsid w:val="00BE32E3"/>
    <w:rsid w:val="00BF4520"/>
    <w:rsid w:val="00BF54A2"/>
    <w:rsid w:val="00BF577B"/>
    <w:rsid w:val="00C23BB2"/>
    <w:rsid w:val="00C375F7"/>
    <w:rsid w:val="00C5352E"/>
    <w:rsid w:val="00C5555F"/>
    <w:rsid w:val="00C62015"/>
    <w:rsid w:val="00CC1CF7"/>
    <w:rsid w:val="00CC50BC"/>
    <w:rsid w:val="00CE0C21"/>
    <w:rsid w:val="00CF74E5"/>
    <w:rsid w:val="00D16ACF"/>
    <w:rsid w:val="00D24713"/>
    <w:rsid w:val="00D25DB6"/>
    <w:rsid w:val="00D31333"/>
    <w:rsid w:val="00D36493"/>
    <w:rsid w:val="00D70F49"/>
    <w:rsid w:val="00D90AEF"/>
    <w:rsid w:val="00DC4590"/>
    <w:rsid w:val="00DD07A3"/>
    <w:rsid w:val="00DE220B"/>
    <w:rsid w:val="00DF4A98"/>
    <w:rsid w:val="00DF6A51"/>
    <w:rsid w:val="00E02159"/>
    <w:rsid w:val="00E024A9"/>
    <w:rsid w:val="00E10F24"/>
    <w:rsid w:val="00E14D07"/>
    <w:rsid w:val="00E36CFD"/>
    <w:rsid w:val="00E37563"/>
    <w:rsid w:val="00E536C8"/>
    <w:rsid w:val="00E63219"/>
    <w:rsid w:val="00E67281"/>
    <w:rsid w:val="00E73062"/>
    <w:rsid w:val="00E9179C"/>
    <w:rsid w:val="00E91E54"/>
    <w:rsid w:val="00E92687"/>
    <w:rsid w:val="00E93F3D"/>
    <w:rsid w:val="00EA4EC3"/>
    <w:rsid w:val="00EA6063"/>
    <w:rsid w:val="00EC0BC9"/>
    <w:rsid w:val="00ED75F8"/>
    <w:rsid w:val="00EE2FDF"/>
    <w:rsid w:val="00EF6CBE"/>
    <w:rsid w:val="00EF7AA5"/>
    <w:rsid w:val="00F11B63"/>
    <w:rsid w:val="00F171A1"/>
    <w:rsid w:val="00F22D30"/>
    <w:rsid w:val="00F244EB"/>
    <w:rsid w:val="00F336C4"/>
    <w:rsid w:val="00F35B75"/>
    <w:rsid w:val="00F41A38"/>
    <w:rsid w:val="00F6079A"/>
    <w:rsid w:val="00F64A89"/>
    <w:rsid w:val="00F66000"/>
    <w:rsid w:val="00F75732"/>
    <w:rsid w:val="00F875D2"/>
    <w:rsid w:val="00F92609"/>
    <w:rsid w:val="00FA3D88"/>
    <w:rsid w:val="00FA7A6A"/>
    <w:rsid w:val="00FC1F0B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3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986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6A73"/>
    <w:rPr>
      <w:sz w:val="22"/>
      <w:szCs w:val="22"/>
    </w:rPr>
  </w:style>
  <w:style w:type="table" w:customStyle="1" w:styleId="1">
    <w:name w:val="Сетка таблицы1"/>
    <w:basedOn w:val="a2"/>
    <w:next w:val="a4"/>
    <w:uiPriority w:val="59"/>
    <w:rsid w:val="004B76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4"/>
    <w:uiPriority w:val="59"/>
    <w:rsid w:val="002623F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08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3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986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6A73"/>
    <w:rPr>
      <w:sz w:val="22"/>
      <w:szCs w:val="22"/>
    </w:rPr>
  </w:style>
  <w:style w:type="table" w:customStyle="1" w:styleId="1">
    <w:name w:val="Сетка таблицы1"/>
    <w:basedOn w:val="a2"/>
    <w:next w:val="a4"/>
    <w:uiPriority w:val="59"/>
    <w:rsid w:val="004B76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4"/>
    <w:uiPriority w:val="59"/>
    <w:rsid w:val="002623F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08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8C84-2D67-4426-AF33-5038C87A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Шубина Александра Николаевна</cp:lastModifiedBy>
  <cp:revision>4</cp:revision>
  <cp:lastPrinted>2017-11-15T06:45:00Z</cp:lastPrinted>
  <dcterms:created xsi:type="dcterms:W3CDTF">2017-11-20T09:44:00Z</dcterms:created>
  <dcterms:modified xsi:type="dcterms:W3CDTF">2017-12-14T06:39:00Z</dcterms:modified>
</cp:coreProperties>
</file>